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56" w:rsidRDefault="00CF545F" w:rsidP="00CF545F">
      <w:pPr>
        <w:pStyle w:val="Ttulo"/>
      </w:pPr>
      <w:r>
        <w:t xml:space="preserve">Nota sobre </w:t>
      </w:r>
      <w:proofErr w:type="spellStart"/>
      <w:r>
        <w:t>Synergy</w:t>
      </w:r>
      <w:proofErr w:type="spellEnd"/>
      <w:r>
        <w:t xml:space="preserve"> </w:t>
      </w:r>
      <w:proofErr w:type="spellStart"/>
      <w:r>
        <w:t>Grant</w:t>
      </w:r>
      <w:proofErr w:type="spellEnd"/>
      <w:r>
        <w:t xml:space="preserve"> 2018</w:t>
      </w:r>
    </w:p>
    <w:p w:rsidR="009B2456" w:rsidRDefault="009B2456" w:rsidP="009B2456">
      <w:r w:rsidRPr="00910B0E">
        <w:rPr>
          <w:b/>
        </w:rPr>
        <w:t>Objetivo de la convocatoria</w:t>
      </w:r>
      <w:r>
        <w:t xml:space="preserve">: Financiar proyectos de investigación muy ambiciosos que por su naturaleza requieran de la </w:t>
      </w:r>
      <w:r w:rsidRPr="00910B0E">
        <w:rPr>
          <w:b/>
        </w:rPr>
        <w:t>colaboración estrecha de 2, 3 o 4 grupos de investigación</w:t>
      </w:r>
      <w:r w:rsidR="00910B0E">
        <w:rPr>
          <w:b/>
        </w:rPr>
        <w:t xml:space="preserve">, liderados por sus </w:t>
      </w:r>
      <w:proofErr w:type="spellStart"/>
      <w:r w:rsidR="00910B0E">
        <w:rPr>
          <w:b/>
        </w:rPr>
        <w:t>IPs</w:t>
      </w:r>
      <w:proofErr w:type="spellEnd"/>
      <w:r w:rsidR="00910B0E">
        <w:rPr>
          <w:b/>
        </w:rPr>
        <w:t>.</w:t>
      </w:r>
    </w:p>
    <w:p w:rsidR="009B2456" w:rsidRDefault="009B2456" w:rsidP="009B2456">
      <w:r w:rsidRPr="00910B0E">
        <w:rPr>
          <w:b/>
        </w:rPr>
        <w:t>Tamaño y duración de los proyectos</w:t>
      </w:r>
      <w:r>
        <w:t xml:space="preserve">: Hasta un máximo de 12-15 </w:t>
      </w:r>
      <w:proofErr w:type="spellStart"/>
      <w:r>
        <w:t>mill</w:t>
      </w:r>
      <w:proofErr w:type="spellEnd"/>
      <w:r>
        <w:t xml:space="preserve">. </w:t>
      </w:r>
      <w:proofErr w:type="gramStart"/>
      <w:r w:rsidR="00910B0E">
        <w:t>d</w:t>
      </w:r>
      <w:r>
        <w:t>e</w:t>
      </w:r>
      <w:proofErr w:type="gramEnd"/>
      <w:r>
        <w:t xml:space="preserve"> euros (por definir aún). </w:t>
      </w:r>
      <w:r w:rsidR="00910B0E">
        <w:t xml:space="preserve">Duración: </w:t>
      </w:r>
      <w:r>
        <w:t>6 años</w:t>
      </w:r>
    </w:p>
    <w:p w:rsidR="00CF545F" w:rsidRDefault="00CF545F" w:rsidP="00CF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F545F">
        <w:rPr>
          <w:b/>
          <w:highlight w:val="yellow"/>
        </w:rPr>
        <w:t>Plazos: Se estima que la convocatoria abrirá en julio, con la publicación del programa de trabajo 2018 del ERC y cerrará en noviembre 2017</w:t>
      </w:r>
    </w:p>
    <w:p w:rsidR="005F6108" w:rsidRDefault="00910B0E" w:rsidP="009B2456">
      <w:r>
        <w:rPr>
          <w:b/>
        </w:rPr>
        <w:t xml:space="preserve">Estructura </w:t>
      </w:r>
      <w:r w:rsidR="0071790A">
        <w:rPr>
          <w:b/>
        </w:rPr>
        <w:t xml:space="preserve"> y localización </w:t>
      </w:r>
      <w:r>
        <w:rPr>
          <w:b/>
        </w:rPr>
        <w:t xml:space="preserve">del grupo </w:t>
      </w:r>
      <w:proofErr w:type="spellStart"/>
      <w:r>
        <w:rPr>
          <w:b/>
        </w:rPr>
        <w:t>SyG</w:t>
      </w:r>
      <w:proofErr w:type="spellEnd"/>
      <w:r>
        <w:rPr>
          <w:b/>
        </w:rPr>
        <w:t xml:space="preserve">: </w:t>
      </w:r>
      <w:r>
        <w:t xml:space="preserve">Flexible, dentro del límite de los 2-3-4 </w:t>
      </w:r>
      <w:proofErr w:type="spellStart"/>
      <w:r>
        <w:t>IPs</w:t>
      </w:r>
      <w:proofErr w:type="spellEnd"/>
      <w:r>
        <w:t xml:space="preserve">. Los </w:t>
      </w:r>
      <w:proofErr w:type="spellStart"/>
      <w:r>
        <w:t>IPs</w:t>
      </w:r>
      <w:proofErr w:type="spellEnd"/>
      <w:r>
        <w:t xml:space="preserve"> pueden trabajar todos en la misma institución y país o estar radicados en centros de países diferentes. En todos los casos, se espera una colaboración muy estrecha entre los grupo</w:t>
      </w:r>
      <w:r w:rsidR="00EA50DD">
        <w:t>s</w:t>
      </w:r>
      <w:r w:rsidR="000B25A4">
        <w:t xml:space="preserve"> y se espera</w:t>
      </w:r>
      <w:r w:rsidR="00EA50DD">
        <w:t xml:space="preserve"> </w:t>
      </w:r>
      <w:r w:rsidR="000B25A4">
        <w:t xml:space="preserve">que los </w:t>
      </w:r>
      <w:proofErr w:type="spellStart"/>
      <w:r w:rsidR="000B25A4">
        <w:t>IPs</w:t>
      </w:r>
      <w:proofErr w:type="spellEnd"/>
      <w:r w:rsidR="000B25A4">
        <w:t xml:space="preserve"> compartan tiempo  de trabajo en un mismo lugar. Si esto no sucede de manera natural, hay que preverlo.</w:t>
      </w:r>
    </w:p>
    <w:p w:rsidR="00EA50DD" w:rsidRDefault="00EA50DD" w:rsidP="000B2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 los 24 proyectos financiados en 2012 y 2013, 9 </w:t>
      </w:r>
      <w:r w:rsidR="000B25A4">
        <w:t xml:space="preserve"> tiene grupos localizados en más de 1</w:t>
      </w:r>
      <w:r>
        <w:t xml:space="preserve"> país,</w:t>
      </w:r>
      <w:r w:rsidR="000B25A4">
        <w:t xml:space="preserve">  8 los grupos se localizan en la misma ciudad/área, y en 3 casos todos los </w:t>
      </w:r>
      <w:proofErr w:type="spellStart"/>
      <w:r w:rsidR="000B25A4">
        <w:t>IPs</w:t>
      </w:r>
      <w:proofErr w:type="spellEnd"/>
      <w:r w:rsidR="000B25A4">
        <w:t xml:space="preserve"> están localizados en la misma institución.</w:t>
      </w:r>
    </w:p>
    <w:p w:rsidR="000B25A4" w:rsidRPr="00910B0E" w:rsidRDefault="000B25A4" w:rsidP="000B2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>Sólo hay 1 proyecto con 4 grupos en 4 países distintos.</w:t>
      </w:r>
    </w:p>
    <w:p w:rsidR="00CF545F" w:rsidRPr="00CF545F" w:rsidRDefault="00CF545F" w:rsidP="009B2456">
      <w:r>
        <w:rPr>
          <w:b/>
        </w:rPr>
        <w:t xml:space="preserve">En cuanto al número de </w:t>
      </w:r>
      <w:proofErr w:type="spellStart"/>
      <w:r>
        <w:rPr>
          <w:b/>
        </w:rPr>
        <w:t>IPs</w:t>
      </w:r>
      <w:proofErr w:type="spellEnd"/>
      <w:r>
        <w:rPr>
          <w:b/>
        </w:rPr>
        <w:t xml:space="preserve"> no hay preferencia por 2, 3 o 4. </w:t>
      </w:r>
      <w:r w:rsidRPr="00CF545F">
        <w:t>Más abajo se muestran los proyectos financiados hasta ahora:</w:t>
      </w:r>
    </w:p>
    <w:p w:rsidR="00CF545F" w:rsidRDefault="00CF545F" w:rsidP="009B2456">
      <w:pPr>
        <w:rPr>
          <w:b/>
        </w:rPr>
      </w:pPr>
      <w:r w:rsidRPr="00CF545F">
        <w:rPr>
          <w:b/>
        </w:rPr>
        <w:drawing>
          <wp:inline distT="0" distB="0" distL="0" distR="0" wp14:anchorId="59BBF356" wp14:editId="1A72FD31">
            <wp:extent cx="4711700" cy="27305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F545F" w:rsidRDefault="00CF545F" w:rsidP="009B2456">
      <w:pPr>
        <w:rPr>
          <w:b/>
        </w:rPr>
      </w:pPr>
      <w:bookmarkStart w:id="0" w:name="_GoBack"/>
      <w:bookmarkEnd w:id="0"/>
    </w:p>
    <w:p w:rsidR="005F6108" w:rsidRDefault="0071790A" w:rsidP="009B2456">
      <w:r w:rsidRPr="0071790A">
        <w:rPr>
          <w:b/>
        </w:rPr>
        <w:lastRenderedPageBreak/>
        <w:t>Perfil:</w:t>
      </w:r>
      <w:r>
        <w:t xml:space="preserve"> </w:t>
      </w:r>
      <w:r w:rsidR="000B25A4">
        <w:t xml:space="preserve">En cuanto al perfil, no hay restricciones por edad, nacionalidad o  etapa de la carrera investigadora. Sí se espera que </w:t>
      </w:r>
      <w:r w:rsidR="000B25A4" w:rsidRPr="0071790A">
        <w:rPr>
          <w:b/>
        </w:rPr>
        <w:t>la combinación de “</w:t>
      </w:r>
      <w:proofErr w:type="spellStart"/>
      <w:r w:rsidR="000B25A4" w:rsidRPr="0071790A">
        <w:rPr>
          <w:b/>
        </w:rPr>
        <w:t>expertise</w:t>
      </w:r>
      <w:proofErr w:type="spellEnd"/>
      <w:r w:rsidR="000B25A4" w:rsidRPr="0071790A">
        <w:rPr>
          <w:b/>
        </w:rPr>
        <w:t>” sea la idónea</w:t>
      </w:r>
      <w:r w:rsidR="000B25A4">
        <w:t xml:space="preserve"> para abordad el proyecto de manera “sinérgica”.</w:t>
      </w:r>
    </w:p>
    <w:p w:rsidR="0071790A" w:rsidRDefault="0071790A" w:rsidP="009B2456">
      <w:r>
        <w:rPr>
          <w:b/>
        </w:rPr>
        <w:t xml:space="preserve">Áreas: </w:t>
      </w:r>
      <w:r>
        <w:t xml:space="preserve">Sin restricción. Por la naturaleza de la convocatoria se espera un alto porcentaje de proyectos altamente interdisciplinares o que combinen aspectos y enfoques muy distintos sobre un problema complejo (teoría y experimentación). </w:t>
      </w:r>
    </w:p>
    <w:p w:rsidR="0071790A" w:rsidRDefault="0071790A" w:rsidP="0071790A">
      <w:pPr>
        <w:keepNext/>
      </w:pPr>
      <w:r>
        <w:rPr>
          <w:noProof/>
          <w:lang w:eastAsia="es-ES"/>
        </w:rPr>
        <w:drawing>
          <wp:inline distT="0" distB="0" distL="0" distR="0" wp14:anchorId="31FDE072" wp14:editId="73983939">
            <wp:extent cx="4864100" cy="2222500"/>
            <wp:effectExtent l="0" t="0" r="0" b="63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790A" w:rsidRPr="0071790A" w:rsidRDefault="0071790A" w:rsidP="0071790A">
      <w:pPr>
        <w:pStyle w:val="Epgrafe"/>
        <w:rPr>
          <w:color w:val="auto"/>
        </w:rPr>
      </w:pPr>
      <w:r w:rsidRPr="0071790A">
        <w:rPr>
          <w:color w:val="auto"/>
        </w:rPr>
        <w:t xml:space="preserve">Gráfica </w:t>
      </w:r>
      <w:r w:rsidRPr="0071790A">
        <w:rPr>
          <w:color w:val="auto"/>
        </w:rPr>
        <w:fldChar w:fldCharType="begin"/>
      </w:r>
      <w:r w:rsidRPr="0071790A">
        <w:rPr>
          <w:color w:val="auto"/>
        </w:rPr>
        <w:instrText xml:space="preserve"> SEQ Gráfica \* ARABIC </w:instrText>
      </w:r>
      <w:r w:rsidRPr="0071790A">
        <w:rPr>
          <w:color w:val="auto"/>
        </w:rPr>
        <w:fldChar w:fldCharType="separate"/>
      </w:r>
      <w:r w:rsidRPr="0071790A">
        <w:rPr>
          <w:noProof/>
          <w:color w:val="auto"/>
        </w:rPr>
        <w:t>1</w:t>
      </w:r>
      <w:r w:rsidRPr="0071790A">
        <w:rPr>
          <w:color w:val="auto"/>
        </w:rPr>
        <w:fldChar w:fldCharType="end"/>
      </w:r>
      <w:r w:rsidRPr="0071790A">
        <w:rPr>
          <w:color w:val="auto"/>
        </w:rPr>
        <w:t xml:space="preserve">. Distribución por área de conocimiento de los 24 proyectos </w:t>
      </w:r>
      <w:proofErr w:type="spellStart"/>
      <w:r w:rsidRPr="0071790A">
        <w:rPr>
          <w:color w:val="auto"/>
        </w:rPr>
        <w:t>SyG</w:t>
      </w:r>
      <w:proofErr w:type="spellEnd"/>
      <w:r w:rsidRPr="0071790A">
        <w:rPr>
          <w:color w:val="auto"/>
        </w:rPr>
        <w:t xml:space="preserve"> concedidos (PE: </w:t>
      </w:r>
      <w:proofErr w:type="spellStart"/>
      <w:r w:rsidRPr="0071790A">
        <w:rPr>
          <w:color w:val="auto"/>
        </w:rPr>
        <w:t>Physical</w:t>
      </w:r>
      <w:proofErr w:type="spellEnd"/>
      <w:r w:rsidRPr="0071790A">
        <w:rPr>
          <w:color w:val="auto"/>
        </w:rPr>
        <w:t xml:space="preserve"> </w:t>
      </w:r>
      <w:proofErr w:type="spellStart"/>
      <w:r w:rsidRPr="0071790A">
        <w:rPr>
          <w:color w:val="auto"/>
        </w:rPr>
        <w:t>Sciences</w:t>
      </w:r>
      <w:proofErr w:type="spellEnd"/>
      <w:r w:rsidRPr="0071790A">
        <w:rPr>
          <w:color w:val="auto"/>
        </w:rPr>
        <w:t xml:space="preserve"> &amp; </w:t>
      </w:r>
      <w:proofErr w:type="spellStart"/>
      <w:r w:rsidRPr="0071790A">
        <w:rPr>
          <w:color w:val="auto"/>
        </w:rPr>
        <w:t>Engineering</w:t>
      </w:r>
      <w:proofErr w:type="spellEnd"/>
      <w:r w:rsidRPr="0071790A">
        <w:rPr>
          <w:color w:val="auto"/>
        </w:rPr>
        <w:t xml:space="preserve">, LS: </w:t>
      </w:r>
      <w:proofErr w:type="spellStart"/>
      <w:r w:rsidRPr="0071790A">
        <w:rPr>
          <w:color w:val="auto"/>
        </w:rPr>
        <w:t>Life</w:t>
      </w:r>
      <w:proofErr w:type="spellEnd"/>
      <w:r w:rsidRPr="0071790A">
        <w:rPr>
          <w:color w:val="auto"/>
        </w:rPr>
        <w:t xml:space="preserve"> </w:t>
      </w:r>
      <w:proofErr w:type="spellStart"/>
      <w:r w:rsidRPr="0071790A">
        <w:rPr>
          <w:color w:val="auto"/>
        </w:rPr>
        <w:t>Sciences</w:t>
      </w:r>
      <w:proofErr w:type="spellEnd"/>
      <w:r w:rsidRPr="0071790A">
        <w:rPr>
          <w:color w:val="auto"/>
        </w:rPr>
        <w:t xml:space="preserve">, SH: Social </w:t>
      </w:r>
      <w:proofErr w:type="spellStart"/>
      <w:r w:rsidRPr="0071790A">
        <w:rPr>
          <w:color w:val="auto"/>
        </w:rPr>
        <w:t>Sciences</w:t>
      </w:r>
      <w:proofErr w:type="spellEnd"/>
      <w:r w:rsidRPr="0071790A">
        <w:rPr>
          <w:color w:val="auto"/>
        </w:rPr>
        <w:t xml:space="preserve"> &amp; </w:t>
      </w:r>
      <w:proofErr w:type="spellStart"/>
      <w:r w:rsidRPr="0071790A">
        <w:rPr>
          <w:color w:val="auto"/>
        </w:rPr>
        <w:t>Humanities</w:t>
      </w:r>
      <w:proofErr w:type="spellEnd"/>
      <w:r w:rsidRPr="0071790A">
        <w:rPr>
          <w:color w:val="auto"/>
        </w:rPr>
        <w:t>)</w:t>
      </w:r>
      <w:r w:rsidR="00CF545F">
        <w:rPr>
          <w:color w:val="auto"/>
        </w:rPr>
        <w:t xml:space="preserve">. </w:t>
      </w:r>
    </w:p>
    <w:p w:rsidR="0071790A" w:rsidRDefault="0071790A" w:rsidP="009B2456">
      <w:pPr>
        <w:rPr>
          <w:b/>
        </w:rPr>
      </w:pPr>
    </w:p>
    <w:p w:rsidR="005F6108" w:rsidRPr="009B2456" w:rsidRDefault="005F6108" w:rsidP="009B2456">
      <w:r w:rsidRPr="0071790A">
        <w:rPr>
          <w:b/>
        </w:rPr>
        <w:t>Palabras clave</w:t>
      </w:r>
      <w:r>
        <w:t>: interdisciplinariedad, colaboración estrecha, sinergia, investigación frontera.</w:t>
      </w:r>
    </w:p>
    <w:sectPr w:rsidR="005F6108" w:rsidRPr="009B24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41"/>
    <w:rsid w:val="000B25A4"/>
    <w:rsid w:val="003827F9"/>
    <w:rsid w:val="005F6108"/>
    <w:rsid w:val="0071790A"/>
    <w:rsid w:val="00910B0E"/>
    <w:rsid w:val="009B2456"/>
    <w:rsid w:val="00A76841"/>
    <w:rsid w:val="00CF545F"/>
    <w:rsid w:val="00EA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B24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B24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90A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71790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B24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B24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90A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71790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erc-res1.ercea.cec.eu.int\ERCEA\02_RESEARCH_CONTRACTS\05_FP7\10_Eval_ERC-2013-SyG\140_Analysis\Excel%20sheets\Data%20synergy%20Board%20september\Results%20step2b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'PI NATIONALITY FOR TABLE'!$K$40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  <a:ln w="12700"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100">
                    <a:latin typeface="+mn-lt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'PI NATIONALITY FOR TABLE'!$J$41:$J$43</c:f>
              <c:strCache>
                <c:ptCount val="3"/>
                <c:pt idx="0">
                  <c:v>2 PI</c:v>
                </c:pt>
                <c:pt idx="1">
                  <c:v>3 PI</c:v>
                </c:pt>
                <c:pt idx="2">
                  <c:v>4 PI</c:v>
                </c:pt>
              </c:strCache>
            </c:strRef>
          </c:cat>
          <c:val>
            <c:numRef>
              <c:f>'PI NATIONALITY FOR TABLE'!$K$41:$K$43</c:f>
              <c:numCache>
                <c:formatCode>0%</c:formatCode>
                <c:ptCount val="3"/>
                <c:pt idx="0">
                  <c:v>9.0909090909090912E-2</c:v>
                </c:pt>
                <c:pt idx="1">
                  <c:v>0.36363636363636365</c:v>
                </c:pt>
                <c:pt idx="2">
                  <c:v>0.54545454545454541</c:v>
                </c:pt>
              </c:numCache>
            </c:numRef>
          </c:val>
        </c:ser>
        <c:ser>
          <c:idx val="1"/>
          <c:order val="1"/>
          <c:tx>
            <c:strRef>
              <c:f>'PI NATIONALITY FOR TABLE'!$L$40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100">
                    <a:latin typeface="+mn-lt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'PI NATIONALITY FOR TABLE'!$J$41:$J$43</c:f>
              <c:strCache>
                <c:ptCount val="3"/>
                <c:pt idx="0">
                  <c:v>2 PI</c:v>
                </c:pt>
                <c:pt idx="1">
                  <c:v>3 PI</c:v>
                </c:pt>
                <c:pt idx="2">
                  <c:v>4 PI</c:v>
                </c:pt>
              </c:strCache>
            </c:strRef>
          </c:cat>
          <c:val>
            <c:numRef>
              <c:f>'PI NATIONALITY FOR TABLE'!$L$41:$L$43</c:f>
              <c:numCache>
                <c:formatCode>0%</c:formatCode>
                <c:ptCount val="3"/>
                <c:pt idx="0">
                  <c:v>0.15384615384615385</c:v>
                </c:pt>
                <c:pt idx="1">
                  <c:v>0.23076923076923078</c:v>
                </c:pt>
                <c:pt idx="2">
                  <c:v>0.61538461538461542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4"/>
        <c:overlap val="-25"/>
        <c:axId val="192964096"/>
        <c:axId val="218656704"/>
      </c:barChart>
      <c:catAx>
        <c:axId val="192964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+mn-lt"/>
              </a:defRPr>
            </a:pPr>
            <a:endParaRPr lang="es-ES"/>
          </a:p>
        </c:txPr>
        <c:crossAx val="218656704"/>
        <c:crosses val="autoZero"/>
        <c:auto val="1"/>
        <c:lblAlgn val="ctr"/>
        <c:lblOffset val="100"/>
        <c:noMultiLvlLbl val="0"/>
      </c:catAx>
      <c:valAx>
        <c:axId val="21865670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100">
                <a:latin typeface="+mn-lt"/>
              </a:defRPr>
            </a:pPr>
            <a:endParaRPr lang="es-ES"/>
          </a:p>
        </c:txPr>
        <c:crossAx val="192964096"/>
        <c:crosses val="autoZero"/>
        <c:crossBetween val="between"/>
      </c:valAx>
      <c:spPr>
        <a:solidFill>
          <a:schemeClr val="bg1"/>
        </a:solidFill>
        <a:ln>
          <a:solidFill>
            <a:schemeClr val="tx1">
              <a:lumMod val="65000"/>
              <a:lumOff val="35000"/>
            </a:schemeClr>
          </a:solidFill>
        </a:ln>
      </c:spPr>
    </c:plotArea>
    <c:legend>
      <c:legendPos val="b"/>
      <c:layout/>
      <c:overlay val="0"/>
      <c:txPr>
        <a:bodyPr/>
        <a:lstStyle/>
        <a:p>
          <a:pPr>
            <a:defRPr sz="1100">
              <a:latin typeface="+mn-lt"/>
            </a:defRPr>
          </a:pPr>
          <a:endParaRPr lang="es-E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>
          <a:solidFill>
            <a:schemeClr val="tx2"/>
          </a:solidFill>
          <a:latin typeface="Arial" pitchFamily="34" charset="0"/>
          <a:cs typeface="Arial" pitchFamily="34" charset="0"/>
        </a:defRPr>
      </a:pPr>
      <a:endParaRPr lang="es-ES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251572210576216"/>
          <c:y val="0.12716067214033241"/>
          <c:w val="0.45117813942118945"/>
          <c:h val="0.77339627043696735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Domain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es-ES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PE</c:v>
                </c:pt>
                <c:pt idx="1">
                  <c:v>LS</c:v>
                </c:pt>
                <c:pt idx="2">
                  <c:v>SH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11</c:v>
                </c:pt>
                <c:pt idx="1">
                  <c:v>9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0.27554</cdr:x>
      <cdr:y>0.64524</cdr:y>
    </cdr:from>
    <cdr:to>
      <cdr:x>0.31586</cdr:x>
      <cdr:y>0.7256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87937" y="1966681"/>
          <a:ext cx="217730" cy="2449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 dirty="0" smtClean="0">
              <a:solidFill>
                <a:srgbClr val="FFFFFF"/>
              </a:solidFill>
              <a:latin typeface="Calibri (Cuerpo)"/>
            </a:rPr>
            <a:t>2</a:t>
          </a:r>
          <a:endParaRPr lang="en-GB" sz="1200" b="1" dirty="0">
            <a:solidFill>
              <a:srgbClr val="FFFFFF"/>
            </a:solidFill>
            <a:latin typeface="Calibri (Cuerpo)"/>
          </a:endParaRPr>
        </a:p>
      </cdr:txBody>
    </cdr:sp>
  </cdr:relSizeAnchor>
  <cdr:relSizeAnchor xmlns:cdr="http://schemas.openxmlformats.org/drawingml/2006/chartDrawing">
    <cdr:from>
      <cdr:x>0.75202</cdr:x>
      <cdr:y>0.48571</cdr:y>
    </cdr:from>
    <cdr:to>
      <cdr:x>0.79234</cdr:x>
      <cdr:y>0.56607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6714746" y="2448272"/>
          <a:ext cx="360040" cy="4050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200" b="1" dirty="0">
              <a:solidFill>
                <a:schemeClr val="tx2"/>
              </a:solidFill>
              <a:latin typeface="Calibri (Cuerpo)"/>
            </a:rPr>
            <a:t>6</a:t>
          </a:r>
          <a:endParaRPr lang="en-GB" sz="1200" b="1" dirty="0">
            <a:solidFill>
              <a:schemeClr val="tx2"/>
            </a:solidFill>
            <a:latin typeface="Calibri (Cuerpo)"/>
          </a:endParaRPr>
        </a:p>
      </cdr:txBody>
    </cdr:sp>
  </cdr:relSizeAnchor>
  <cdr:relSizeAnchor xmlns:cdr="http://schemas.openxmlformats.org/drawingml/2006/chartDrawing">
    <cdr:from>
      <cdr:x>0.4496</cdr:x>
      <cdr:y>0.60179</cdr:y>
    </cdr:from>
    <cdr:to>
      <cdr:x>0.48992</cdr:x>
      <cdr:y>0.68214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4014446" y="3033337"/>
          <a:ext cx="360040" cy="4050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200" b="1" dirty="0">
              <a:solidFill>
                <a:schemeClr val="tx2"/>
              </a:solidFill>
              <a:latin typeface="Calibri (Cuerpo)"/>
            </a:rPr>
            <a:t>4</a:t>
          </a:r>
          <a:endParaRPr lang="en-GB" sz="1200" b="1" dirty="0">
            <a:solidFill>
              <a:schemeClr val="tx2"/>
            </a:solidFill>
            <a:latin typeface="Calibri (Cuerpo)"/>
          </a:endParaRPr>
        </a:p>
      </cdr:txBody>
    </cdr:sp>
  </cdr:relSizeAnchor>
  <cdr:relSizeAnchor xmlns:cdr="http://schemas.openxmlformats.org/drawingml/2006/chartDrawing">
    <cdr:from>
      <cdr:x>0.15424</cdr:x>
      <cdr:y>0.68154</cdr:y>
    </cdr:from>
    <cdr:to>
      <cdr:x>0.19456</cdr:x>
      <cdr:y>0.7619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32878" y="2077344"/>
          <a:ext cx="217730" cy="2449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200" b="1" dirty="0">
              <a:solidFill>
                <a:schemeClr val="tx2"/>
              </a:solidFill>
              <a:latin typeface="Calibri (Cuerpo)"/>
            </a:rPr>
            <a:t>1</a:t>
          </a:r>
          <a:endParaRPr lang="en-GB" sz="1200" b="1" dirty="0">
            <a:solidFill>
              <a:schemeClr val="tx2"/>
            </a:solidFill>
            <a:latin typeface="Calibri (Cuerpo)"/>
          </a:endParaRPr>
        </a:p>
      </cdr:txBody>
    </cdr:sp>
  </cdr:relSizeAnchor>
  <cdr:relSizeAnchor xmlns:cdr="http://schemas.openxmlformats.org/drawingml/2006/chartDrawing">
    <cdr:from>
      <cdr:x>0.85215</cdr:x>
      <cdr:y>0.46846</cdr:y>
    </cdr:from>
    <cdr:to>
      <cdr:x>0.89248</cdr:x>
      <cdr:y>0.54881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4601643" y="1427856"/>
          <a:ext cx="217784" cy="2449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200" b="1" dirty="0">
              <a:solidFill>
                <a:srgbClr val="FFFFFF"/>
              </a:solidFill>
              <a:latin typeface="Calibri (Cuerpo)"/>
            </a:rPr>
            <a:t>8</a:t>
          </a:r>
          <a:endParaRPr lang="en-GB" sz="1200" b="1" dirty="0">
            <a:solidFill>
              <a:srgbClr val="FFFFFF"/>
            </a:solidFill>
            <a:latin typeface="Calibri (Cuerpo)"/>
          </a:endParaRPr>
        </a:p>
      </cdr:txBody>
    </cdr:sp>
  </cdr:relSizeAnchor>
  <cdr:relSizeAnchor xmlns:cdr="http://schemas.openxmlformats.org/drawingml/2006/chartDrawing">
    <cdr:from>
      <cdr:x>0.55914</cdr:x>
      <cdr:y>0.58512</cdr:y>
    </cdr:from>
    <cdr:to>
      <cdr:x>0.59947</cdr:x>
      <cdr:y>0.66547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3019363" y="1783456"/>
          <a:ext cx="217784" cy="2449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200" b="1" dirty="0">
              <a:solidFill>
                <a:srgbClr val="FFFFFF"/>
              </a:solidFill>
              <a:latin typeface="Calibri (Cuerpo)"/>
            </a:rPr>
            <a:t>3</a:t>
          </a:r>
          <a:endParaRPr lang="en-GB" sz="1200" b="1" dirty="0">
            <a:solidFill>
              <a:srgbClr val="FFFFFF"/>
            </a:solidFill>
            <a:latin typeface="Calibri (Cuerpo)"/>
          </a:endParaRP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Default Design 3">
    <a:dk1>
      <a:srgbClr val="4B413C"/>
    </a:dk1>
    <a:lt1>
      <a:srgbClr val="FAF5F5"/>
    </a:lt1>
    <a:dk2>
      <a:srgbClr val="000000"/>
    </a:dk2>
    <a:lt2>
      <a:srgbClr val="E6E1DC"/>
    </a:lt2>
    <a:accent1>
      <a:srgbClr val="368ECA"/>
    </a:accent1>
    <a:accent2>
      <a:srgbClr val="AA225C"/>
    </a:accent2>
    <a:accent3>
      <a:srgbClr val="FCF9F9"/>
    </a:accent3>
    <a:accent4>
      <a:srgbClr val="3F3632"/>
    </a:accent4>
    <a:accent5>
      <a:srgbClr val="AEC6E1"/>
    </a:accent5>
    <a:accent6>
      <a:srgbClr val="9A1E53"/>
    </a:accent6>
    <a:hlink>
      <a:srgbClr val="00CC99"/>
    </a:hlink>
    <a:folHlink>
      <a:srgbClr val="FD5C03"/>
    </a:folHlink>
  </a:clrScheme>
  <a:fontScheme name="Default Design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0439-F33D-492D-820A-25737119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Esther</dc:creator>
  <cp:keywords/>
  <dc:description/>
  <cp:lastModifiedBy>Rodriguez, Esther</cp:lastModifiedBy>
  <cp:revision>2</cp:revision>
  <dcterms:created xsi:type="dcterms:W3CDTF">2017-04-06T09:28:00Z</dcterms:created>
  <dcterms:modified xsi:type="dcterms:W3CDTF">2017-04-06T11:06:00Z</dcterms:modified>
</cp:coreProperties>
</file>